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FF44A">
      <w:pPr>
        <w:adjustRightInd w:val="0"/>
        <w:snapToGrid w:val="0"/>
        <w:spacing w:before="156" w:beforeLines="50" w:line="360" w:lineRule="auto"/>
        <w:ind w:firstLine="0" w:firstLineChars="0"/>
        <w:rPr>
          <w:rFonts w:eastAsia="宋体"/>
          <w:b/>
          <w:sz w:val="52"/>
          <w:szCs w:val="52"/>
        </w:rPr>
      </w:pPr>
    </w:p>
    <w:p w14:paraId="19F47389">
      <w:pPr>
        <w:adjustRightInd w:val="0"/>
        <w:snapToGrid w:val="0"/>
        <w:spacing w:before="156" w:beforeLines="50" w:line="360" w:lineRule="auto"/>
        <w:ind w:firstLine="0" w:firstLineChars="0"/>
        <w:jc w:val="center"/>
        <w:rPr>
          <w:rFonts w:eastAsia="宋体"/>
          <w:b/>
          <w:sz w:val="48"/>
          <w:szCs w:val="48"/>
        </w:rPr>
      </w:pPr>
      <w:r>
        <w:rPr>
          <w:rFonts w:hint="eastAsia" w:eastAsia="宋体"/>
          <w:b/>
          <w:sz w:val="44"/>
          <w:szCs w:val="48"/>
          <w:lang w:val="en-US" w:eastAsia="zh-CN"/>
        </w:rPr>
        <w:t>团体</w:t>
      </w:r>
      <w:r>
        <w:rPr>
          <w:rFonts w:eastAsia="宋体"/>
          <w:b/>
          <w:sz w:val="44"/>
          <w:szCs w:val="48"/>
        </w:rPr>
        <w:t>标准</w:t>
      </w:r>
    </w:p>
    <w:p w14:paraId="48D40BDF">
      <w:pPr>
        <w:adjustRightInd w:val="0"/>
        <w:snapToGrid w:val="0"/>
        <w:spacing w:before="156" w:beforeLines="50" w:line="360" w:lineRule="auto"/>
        <w:ind w:left="-140" w:leftChars="-50" w:right="-140" w:rightChars="-50" w:firstLine="0" w:firstLineChars="0"/>
        <w:jc w:val="center"/>
        <w:rPr>
          <w:rFonts w:eastAsia="宋体"/>
          <w:b/>
          <w:sz w:val="44"/>
          <w:szCs w:val="48"/>
        </w:rPr>
      </w:pPr>
      <w:r>
        <w:rPr>
          <w:rFonts w:eastAsia="宋体"/>
          <w:b/>
          <w:sz w:val="44"/>
          <w:szCs w:val="48"/>
        </w:rPr>
        <w:t>《</w:t>
      </w:r>
      <w:r>
        <w:rPr>
          <w:rFonts w:hint="eastAsia" w:eastAsia="宋体"/>
          <w:b/>
          <w:sz w:val="44"/>
          <w:szCs w:val="48"/>
        </w:rPr>
        <w:t>秸秆蒸汽爆破</w:t>
      </w:r>
      <w:r>
        <w:rPr>
          <w:rFonts w:hint="default" w:eastAsia="宋体"/>
          <w:b/>
          <w:sz w:val="44"/>
          <w:szCs w:val="48"/>
          <w:lang w:eastAsia="zh-CN"/>
        </w:rPr>
        <w:t>制板</w:t>
      </w:r>
      <w:r>
        <w:rPr>
          <w:rFonts w:hint="eastAsia" w:eastAsia="宋体"/>
          <w:b/>
          <w:sz w:val="44"/>
          <w:szCs w:val="48"/>
        </w:rPr>
        <w:t>生产工艺技术规范</w:t>
      </w:r>
      <w:r>
        <w:rPr>
          <w:rFonts w:eastAsia="宋体"/>
          <w:b/>
          <w:sz w:val="44"/>
          <w:szCs w:val="48"/>
        </w:rPr>
        <w:t>》</w:t>
      </w:r>
    </w:p>
    <w:p w14:paraId="0B3FDBEF">
      <w:pPr>
        <w:adjustRightInd w:val="0"/>
        <w:snapToGrid w:val="0"/>
        <w:spacing w:before="156" w:beforeLines="50" w:line="360" w:lineRule="auto"/>
        <w:ind w:firstLine="0" w:firstLineChars="0"/>
        <w:jc w:val="center"/>
        <w:rPr>
          <w:rFonts w:eastAsia="宋体"/>
          <w:b/>
          <w:sz w:val="44"/>
          <w:szCs w:val="48"/>
        </w:rPr>
      </w:pPr>
      <w:r>
        <w:rPr>
          <w:rFonts w:eastAsia="宋体"/>
          <w:b/>
          <w:sz w:val="44"/>
          <w:szCs w:val="48"/>
        </w:rPr>
        <w:t>（</w:t>
      </w:r>
      <w:r>
        <w:rPr>
          <w:rFonts w:hint="eastAsia" w:eastAsia="宋体"/>
          <w:b/>
          <w:sz w:val="44"/>
          <w:szCs w:val="48"/>
        </w:rPr>
        <w:t>征求</w:t>
      </w:r>
      <w:r>
        <w:rPr>
          <w:rFonts w:eastAsia="宋体"/>
          <w:b/>
          <w:sz w:val="44"/>
          <w:szCs w:val="48"/>
        </w:rPr>
        <w:t>意见稿）</w:t>
      </w:r>
    </w:p>
    <w:p w14:paraId="54F62E85">
      <w:pPr>
        <w:adjustRightInd w:val="0"/>
        <w:snapToGrid w:val="0"/>
        <w:spacing w:before="156" w:beforeLines="50" w:line="360" w:lineRule="auto"/>
        <w:ind w:firstLine="0" w:firstLineChars="0"/>
        <w:jc w:val="center"/>
        <w:rPr>
          <w:rFonts w:eastAsia="宋体"/>
          <w:b/>
          <w:sz w:val="44"/>
          <w:szCs w:val="48"/>
        </w:rPr>
      </w:pPr>
      <w:r>
        <w:rPr>
          <w:rFonts w:eastAsia="宋体"/>
          <w:b/>
          <w:sz w:val="44"/>
          <w:szCs w:val="48"/>
        </w:rPr>
        <w:t>编制说明</w:t>
      </w:r>
    </w:p>
    <w:p w14:paraId="25822B24">
      <w:pPr>
        <w:adjustRightInd w:val="0"/>
        <w:snapToGrid w:val="0"/>
        <w:spacing w:before="156" w:beforeLines="50" w:line="360" w:lineRule="auto"/>
        <w:ind w:firstLine="0" w:firstLineChars="0"/>
        <w:rPr>
          <w:rFonts w:eastAsia="宋体"/>
          <w:b/>
          <w:sz w:val="52"/>
          <w:szCs w:val="52"/>
        </w:rPr>
      </w:pPr>
    </w:p>
    <w:p w14:paraId="53928D89">
      <w:pPr>
        <w:adjustRightInd w:val="0"/>
        <w:snapToGrid w:val="0"/>
        <w:spacing w:before="156" w:beforeLines="50" w:line="360" w:lineRule="auto"/>
        <w:ind w:firstLine="0" w:firstLineChars="0"/>
        <w:jc w:val="center"/>
        <w:rPr>
          <w:rFonts w:eastAsia="宋体"/>
          <w:b/>
          <w:sz w:val="52"/>
          <w:szCs w:val="52"/>
        </w:rPr>
      </w:pPr>
    </w:p>
    <w:p w14:paraId="6E2B54F4">
      <w:pPr>
        <w:adjustRightInd w:val="0"/>
        <w:snapToGrid w:val="0"/>
        <w:spacing w:before="156" w:beforeLines="50" w:line="360" w:lineRule="auto"/>
        <w:ind w:firstLine="0" w:firstLineChars="0"/>
        <w:jc w:val="center"/>
        <w:rPr>
          <w:rFonts w:eastAsia="宋体"/>
          <w:b/>
          <w:sz w:val="52"/>
          <w:szCs w:val="52"/>
        </w:rPr>
      </w:pPr>
    </w:p>
    <w:p w14:paraId="70B3EF08">
      <w:pPr>
        <w:adjustRightInd w:val="0"/>
        <w:snapToGrid w:val="0"/>
        <w:spacing w:before="156" w:beforeLines="50" w:line="360" w:lineRule="auto"/>
        <w:ind w:firstLine="0" w:firstLineChars="0"/>
        <w:jc w:val="center"/>
        <w:rPr>
          <w:rFonts w:eastAsia="宋体"/>
          <w:b/>
          <w:sz w:val="52"/>
          <w:szCs w:val="52"/>
        </w:rPr>
      </w:pPr>
    </w:p>
    <w:p w14:paraId="1C054FDF">
      <w:pPr>
        <w:adjustRightInd w:val="0"/>
        <w:snapToGrid w:val="0"/>
        <w:spacing w:before="156" w:beforeLines="50" w:line="360" w:lineRule="auto"/>
        <w:ind w:firstLine="0" w:firstLineChars="0"/>
        <w:jc w:val="center"/>
        <w:rPr>
          <w:rFonts w:eastAsia="宋体"/>
          <w:b/>
          <w:sz w:val="52"/>
          <w:szCs w:val="52"/>
        </w:rPr>
      </w:pPr>
    </w:p>
    <w:p w14:paraId="02CFDE59">
      <w:pPr>
        <w:tabs>
          <w:tab w:val="left" w:pos="1488"/>
          <w:tab w:val="center" w:pos="4060"/>
        </w:tabs>
        <w:adjustRightInd w:val="0"/>
        <w:snapToGrid w:val="0"/>
        <w:spacing w:before="156" w:beforeLines="50" w:line="360" w:lineRule="auto"/>
        <w:ind w:firstLine="0" w:firstLineChars="0"/>
        <w:jc w:val="left"/>
        <w:rPr>
          <w:rFonts w:eastAsia="黑体"/>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985" w:header="851" w:footer="992" w:gutter="0"/>
          <w:cols w:space="720" w:num="1"/>
          <w:docGrid w:type="lines" w:linePitch="312" w:charSpace="0"/>
        </w:sectPr>
      </w:pPr>
      <w:r>
        <w:rPr>
          <w:rFonts w:eastAsia="黑体"/>
          <w:b/>
          <w:sz w:val="30"/>
          <w:szCs w:val="30"/>
        </w:rPr>
        <w:tab/>
      </w:r>
    </w:p>
    <w:p w14:paraId="40DA185E">
      <w:pPr>
        <w:adjustRightInd w:val="0"/>
        <w:snapToGrid w:val="0"/>
        <w:spacing w:before="156" w:beforeLines="50" w:line="360" w:lineRule="auto"/>
        <w:ind w:firstLine="0" w:firstLineChars="0"/>
        <w:rPr>
          <w:rFonts w:eastAsia="黑体"/>
          <w:b/>
          <w:sz w:val="32"/>
          <w:szCs w:val="32"/>
        </w:rPr>
      </w:pPr>
      <w:r>
        <w:rPr>
          <w:rFonts w:eastAsia="黑体"/>
          <w:b/>
          <w:sz w:val="32"/>
          <w:szCs w:val="32"/>
        </w:rPr>
        <w:t>一、立项背景及任务来源</w:t>
      </w:r>
    </w:p>
    <w:p w14:paraId="5C6B91AF">
      <w:pPr>
        <w:pStyle w:val="7"/>
        <w:spacing w:before="156" w:beforeLines="50" w:after="156" w:afterLines="50"/>
        <w:ind w:firstLine="0" w:firstLineChars="0"/>
        <w:rPr>
          <w:color w:val="000000"/>
        </w:rPr>
      </w:pPr>
      <w:r>
        <w:rPr>
          <w:rFonts w:hint="eastAsia"/>
          <w:color w:val="000000"/>
        </w:rPr>
        <w:t>（一）立项</w:t>
      </w:r>
      <w:r>
        <w:rPr>
          <w:color w:val="000000"/>
        </w:rPr>
        <w:t>背景</w:t>
      </w:r>
    </w:p>
    <w:p w14:paraId="0C63D87E">
      <w:pPr>
        <w:adjustRightInd w:val="0"/>
        <w:snapToGrid w:val="0"/>
        <w:spacing w:before="156" w:beforeLines="50" w:line="360" w:lineRule="auto"/>
        <w:ind w:firstLine="480"/>
        <w:rPr>
          <w:rFonts w:hint="eastAsia" w:eastAsia="仿宋"/>
          <w:sz w:val="24"/>
        </w:rPr>
      </w:pPr>
      <w:r>
        <w:rPr>
          <w:rFonts w:hint="eastAsia" w:eastAsia="仿宋"/>
          <w:sz w:val="24"/>
        </w:rPr>
        <w:t>随着环保理念的深入人心，秸秆板材作为一种绿色、可持续的新型建筑材料，其生产工艺的研究与产业化应用日益受到行业及社会各界的广泛重视，推动秸秆板材生产标准化、规范化发展，已成为助力环保产业升级、实现资源循环利用的重要抓手。</w:t>
      </w:r>
    </w:p>
    <w:p w14:paraId="626D1361">
      <w:pPr>
        <w:adjustRightInd w:val="0"/>
        <w:snapToGrid w:val="0"/>
        <w:spacing w:before="156" w:beforeLines="50" w:line="360" w:lineRule="auto"/>
        <w:ind w:firstLine="480"/>
        <w:rPr>
          <w:rFonts w:hint="eastAsia" w:eastAsia="仿宋"/>
          <w:sz w:val="24"/>
        </w:rPr>
      </w:pPr>
      <w:r>
        <w:rPr>
          <w:rFonts w:hint="eastAsia" w:eastAsia="仿宋"/>
          <w:sz w:val="24"/>
        </w:rPr>
        <w:t>秸秆板材生产工艺的发展，经历了从粗放利用到精细加工、从技术探索到创新突破的逐步演进过程。早期阶段，工艺相对简单，核心聚焦于农业秸秆废弃物的资源化转化，通过破碎、干燥等基础加工步骤，将秸秆转化为制板基础原料，此阶段的技术核心的是解决秸秆废弃物的利用率问题，尚未涉及产品性能优化与深度加工，生产模式较为粗放。</w:t>
      </w:r>
    </w:p>
    <w:p w14:paraId="6D98ADF2">
      <w:pPr>
        <w:adjustRightInd w:val="0"/>
        <w:snapToGrid w:val="0"/>
        <w:spacing w:before="156" w:beforeLines="50" w:line="360" w:lineRule="auto"/>
        <w:ind w:firstLine="480"/>
        <w:rPr>
          <w:rFonts w:hint="eastAsia" w:eastAsia="仿宋"/>
          <w:sz w:val="24"/>
        </w:rPr>
      </w:pPr>
      <w:r>
        <w:rPr>
          <w:rFonts w:hint="eastAsia" w:eastAsia="仿宋"/>
          <w:sz w:val="24"/>
        </w:rPr>
        <w:t>随着科技水平的不断提升，秸秆板材生产工艺逐步进入技术发展阶段，核心转向秸秆的高值化利用。行业通过引入化学改性、物理强化等技术手段，搭配专用胶粘剂与功能添加剂，有效提升了秸秆板材的抗压、抗弯、防水等关键力学性能；同时，生产过程的自动化、智能化水平持续提升，不仅降低了人工成本与生产能耗，更显著提高了生产效率与产品质量稳定性，推动秸秆板材从“可用”向“好用”转型。</w:t>
      </w:r>
    </w:p>
    <w:p w14:paraId="22754912">
      <w:pPr>
        <w:adjustRightInd w:val="0"/>
        <w:snapToGrid w:val="0"/>
        <w:spacing w:before="156" w:beforeLines="50" w:line="360" w:lineRule="auto"/>
        <w:ind w:firstLine="480"/>
        <w:rPr>
          <w:rFonts w:hint="eastAsia" w:eastAsia="仿宋"/>
          <w:sz w:val="24"/>
        </w:rPr>
      </w:pPr>
      <w:r>
        <w:rPr>
          <w:rFonts w:hint="eastAsia" w:eastAsia="仿宋"/>
          <w:sz w:val="24"/>
        </w:rPr>
        <w:t>近年来，秸秆板材生产工艺迈入创新突破阶段，在坚守绿色环保核心的基础上，进一步追求产品的多功能性与高性能化。行业积极引入热压成型、真空吸附等先进制造技术，大幅提升了秸秆板材的密实度与结构稳定性；通过与塑料、木质纤维等材料进行复合改性，有效拓宽了秸秆板材的应用场景，使其能够满足绿色建筑、家居装饰、包装材料等多领域的差异化需求，实现了秸秆资源的高效高值利用。</w:t>
      </w:r>
    </w:p>
    <w:p w14:paraId="73A7D703">
      <w:pPr>
        <w:adjustRightInd w:val="0"/>
        <w:snapToGrid w:val="0"/>
        <w:spacing w:before="156" w:beforeLines="50" w:line="360" w:lineRule="auto"/>
        <w:ind w:firstLine="480"/>
        <w:rPr>
          <w:rFonts w:hint="eastAsia" w:eastAsia="仿宋"/>
          <w:sz w:val="24"/>
        </w:rPr>
      </w:pPr>
      <w:r>
        <w:rPr>
          <w:rFonts w:hint="eastAsia" w:eastAsia="仿宋"/>
          <w:sz w:val="24"/>
        </w:rPr>
        <w:t>未来，随着全民环保意识的持续提升与技术的迭代升级，秸秆板材生产工艺将持续向高性能、多功能、绿色低碳的方向迈进，更加注重资源高效利用与生态环境保护的协同发展，进一步推动秸秆板材在绿色建筑、家居产业等领域的规模化应用，为我国可持续发展战略落地提供有力支撑。从农业废弃物的简单利用，到现阶段的高值化开发与技术突破，秸秆板材生产工艺的每一次演进，不仅推动了环保材料产业的升级，更为我国资源循环利用、生态文明建设作出了积极贡献。</w:t>
      </w:r>
    </w:p>
    <w:p w14:paraId="305CD2B1">
      <w:pPr>
        <w:adjustRightInd w:val="0"/>
        <w:snapToGrid w:val="0"/>
        <w:spacing w:before="156" w:beforeLines="50" w:line="360" w:lineRule="auto"/>
        <w:ind w:firstLine="480"/>
        <w:rPr>
          <w:rFonts w:hint="eastAsia" w:eastAsia="仿宋"/>
          <w:sz w:val="24"/>
        </w:rPr>
      </w:pPr>
      <w:r>
        <w:rPr>
          <w:rFonts w:hint="eastAsia" w:eastAsia="仿宋"/>
          <w:sz w:val="24"/>
        </w:rPr>
        <w:t>此外，秸秆板材制造行业的发展高度契合我国国家政策导向。近年来，我国政府高度重视生态文明建设与农业废弃物综合利用，先后出台一系列扶持政策，明确鼓励秸秆资源化、高值化利用，为秸秆板材制造行业的快速发展提供了坚实的政策保障，也为秸秆制板标准的立项与实施奠定了良好的政策基础。</w:t>
      </w:r>
    </w:p>
    <w:p w14:paraId="0F840207">
      <w:pPr>
        <w:adjustRightInd w:val="0"/>
        <w:snapToGrid w:val="0"/>
        <w:spacing w:before="156" w:beforeLines="50" w:line="360" w:lineRule="auto"/>
        <w:ind w:firstLine="480"/>
        <w:rPr>
          <w:rFonts w:hint="eastAsia" w:eastAsia="仿宋"/>
          <w:sz w:val="24"/>
        </w:rPr>
      </w:pPr>
      <w:r>
        <w:rPr>
          <w:rFonts w:hint="eastAsia" w:eastAsia="仿宋"/>
          <w:sz w:val="24"/>
        </w:rPr>
        <w:t>在技术研究层面，国外秸秆板材制造技术起步较早，欧洲、北美等地区的研究已形成较为成熟的体系，重点聚焦于原料精细化处理、板材性能优化及环保工艺升级等领域，积累了丰富的技术经验。国内相关技术研究虽起步较晚，但近年来发展势头迅猛，国内科研机构与企业协同发力，在秸秆原料预处理、板材性能改良、生产工艺优化等方面取得了一系列显著成果，逐步缩小与国际先进水平的差距。</w:t>
      </w:r>
    </w:p>
    <w:p w14:paraId="6F022744">
      <w:pPr>
        <w:adjustRightInd w:val="0"/>
        <w:snapToGrid w:val="0"/>
        <w:spacing w:before="156" w:beforeLines="50" w:line="360" w:lineRule="auto"/>
        <w:ind w:firstLine="480"/>
        <w:rPr>
          <w:rFonts w:hint="eastAsia" w:eastAsia="仿宋"/>
          <w:sz w:val="24"/>
        </w:rPr>
      </w:pPr>
      <w:r>
        <w:rPr>
          <w:rFonts w:hint="eastAsia" w:eastAsia="仿宋"/>
          <w:sz w:val="24"/>
        </w:rPr>
        <w:t>当前，国内外秸秆板材制造技术的研究方向已形成共识，主要集中在三个方面：一是持续提升秸秆板材的力学性能与耐久性，满足不同应用场景的严苛要求；二是优化生产工艺路线，降低生产过程中的能耗与污染物排放，实现绿色生产；三是开发新型环保复合原料与工艺，进一步拓宽秸秆板材的应用领域。同时，跨学科交叉研究已成为行业发展趋势，材料科学、化学工程、生物技术等多领域的深度融合，为秸秆板材制造技术的创新突破提供了新的思路与方法，也对秸秆制板的标准化、规范化提出了更高要求。</w:t>
      </w:r>
    </w:p>
    <w:p w14:paraId="5EC64682">
      <w:pPr>
        <w:adjustRightInd w:val="0"/>
        <w:snapToGrid w:val="0"/>
        <w:spacing w:before="156" w:beforeLines="50" w:line="360" w:lineRule="auto"/>
        <w:ind w:firstLine="480"/>
        <w:rPr>
          <w:rFonts w:eastAsia="仿宋"/>
          <w:sz w:val="24"/>
        </w:rPr>
      </w:pPr>
      <w:r>
        <w:rPr>
          <w:rFonts w:hint="eastAsia" w:eastAsia="仿宋"/>
          <w:sz w:val="24"/>
        </w:rPr>
        <w:t>基于上述背景，本文件将全面解析秸秆板材的生产工艺流程及各环节关键技术要求，涵盖原料准备、加工处理、成型加工、后期处理等全流程，通过流程图等直观形式呈现生产过程，增强内容的可读性与实用性，为相关领域的科研人员、企业技术人员及行业管理者提供全面、有价值的参考，助力秸秆板材行业标准化、规范化、高质量发展，因此开展本秸秆制板标准的立项工作具有重要的现实意义与行业价值。</w:t>
      </w:r>
    </w:p>
    <w:p w14:paraId="32B8117E">
      <w:pPr>
        <w:adjustRightInd w:val="0"/>
        <w:snapToGrid w:val="0"/>
        <w:spacing w:before="156" w:beforeLines="50" w:line="360" w:lineRule="auto"/>
        <w:ind w:firstLine="0" w:firstLineChars="0"/>
        <w:rPr>
          <w:rFonts w:eastAsia="黑体"/>
          <w:b/>
          <w:szCs w:val="28"/>
        </w:rPr>
      </w:pPr>
      <w:r>
        <w:rPr>
          <w:rFonts w:eastAsia="黑体"/>
          <w:b/>
          <w:szCs w:val="28"/>
        </w:rPr>
        <w:t>（二）任务来源</w:t>
      </w:r>
    </w:p>
    <w:p w14:paraId="1C52D5C3">
      <w:pPr>
        <w:adjustRightInd w:val="0"/>
        <w:snapToGrid w:val="0"/>
        <w:spacing w:before="156" w:beforeLines="50" w:line="360" w:lineRule="auto"/>
        <w:ind w:firstLine="480"/>
        <w:rPr>
          <w:rFonts w:hint="eastAsia" w:eastAsia="仿宋"/>
          <w:sz w:val="24"/>
        </w:rPr>
      </w:pPr>
      <w:r>
        <w:rPr>
          <w:rFonts w:hint="eastAsia" w:eastAsia="仿宋"/>
          <w:sz w:val="24"/>
        </w:rPr>
        <w:t>本标准依据大连市标准化协会《关于下达202</w:t>
      </w:r>
      <w:r>
        <w:rPr>
          <w:rFonts w:hint="eastAsia" w:eastAsia="仿宋"/>
          <w:sz w:val="24"/>
          <w:lang w:val="en-US" w:eastAsia="zh-CN"/>
        </w:rPr>
        <w:t>6</w:t>
      </w:r>
      <w:r>
        <w:rPr>
          <w:rFonts w:hint="eastAsia" w:eastAsia="仿宋"/>
          <w:sz w:val="24"/>
        </w:rPr>
        <w:t>年团体标准立项计划的通知》的要求编制，项目计划编号 202</w:t>
      </w:r>
      <w:r>
        <w:rPr>
          <w:rFonts w:hint="eastAsia" w:eastAsia="仿宋"/>
          <w:sz w:val="24"/>
          <w:lang w:val="en-US" w:eastAsia="zh-CN"/>
        </w:rPr>
        <w:t>6</w:t>
      </w:r>
      <w:r>
        <w:rPr>
          <w:rFonts w:hint="eastAsia" w:eastAsia="仿宋"/>
          <w:sz w:val="24"/>
        </w:rPr>
        <w:t>0</w:t>
      </w:r>
      <w:r>
        <w:rPr>
          <w:rFonts w:hint="eastAsia" w:eastAsia="仿宋"/>
          <w:sz w:val="24"/>
          <w:lang w:val="en-US" w:eastAsia="zh-CN"/>
        </w:rPr>
        <w:t>3</w:t>
      </w:r>
      <w:r>
        <w:rPr>
          <w:rFonts w:hint="eastAsia" w:eastAsia="仿宋"/>
          <w:sz w:val="24"/>
        </w:rPr>
        <w:t>。本标准由乾佰熙（大连）生物科技有限公司提出，经大连市标准化协会批准，于202</w:t>
      </w:r>
      <w:r>
        <w:rPr>
          <w:rFonts w:hint="eastAsia" w:eastAsia="仿宋"/>
          <w:sz w:val="24"/>
          <w:lang w:val="en-US" w:eastAsia="zh-CN"/>
        </w:rPr>
        <w:t>6</w:t>
      </w:r>
      <w:r>
        <w:rPr>
          <w:rFonts w:hint="eastAsia" w:eastAsia="仿宋"/>
          <w:sz w:val="24"/>
        </w:rPr>
        <w:t>年</w:t>
      </w:r>
      <w:r>
        <w:rPr>
          <w:rFonts w:hint="eastAsia" w:eastAsia="仿宋"/>
          <w:sz w:val="24"/>
          <w:lang w:val="en-US" w:eastAsia="zh-CN"/>
        </w:rPr>
        <w:t>1</w:t>
      </w:r>
      <w:r>
        <w:rPr>
          <w:rFonts w:hint="eastAsia" w:eastAsia="仿宋"/>
          <w:sz w:val="24"/>
        </w:rPr>
        <w:t>月</w:t>
      </w:r>
      <w:r>
        <w:rPr>
          <w:rFonts w:hint="eastAsia" w:eastAsia="仿宋"/>
          <w:sz w:val="24"/>
          <w:lang w:val="en-US" w:eastAsia="zh-CN"/>
        </w:rPr>
        <w:t>5</w:t>
      </w:r>
      <w:r>
        <w:rPr>
          <w:rFonts w:hint="eastAsia" w:eastAsia="仿宋"/>
          <w:sz w:val="24"/>
        </w:rPr>
        <w:t xml:space="preserve">日正式立项。 </w:t>
      </w:r>
    </w:p>
    <w:p w14:paraId="2993DF54">
      <w:pPr>
        <w:adjustRightInd w:val="0"/>
        <w:snapToGrid w:val="0"/>
        <w:spacing w:before="156" w:beforeLines="50" w:line="360" w:lineRule="auto"/>
        <w:ind w:firstLine="0" w:firstLineChars="0"/>
        <w:rPr>
          <w:rFonts w:eastAsia="黑体"/>
          <w:b/>
          <w:sz w:val="32"/>
          <w:szCs w:val="32"/>
        </w:rPr>
      </w:pPr>
      <w:r>
        <w:rPr>
          <w:rFonts w:eastAsia="黑体"/>
          <w:b/>
          <w:sz w:val="32"/>
          <w:szCs w:val="32"/>
        </w:rPr>
        <w:t>二、主要工作过程</w:t>
      </w:r>
    </w:p>
    <w:p w14:paraId="73F80B8A">
      <w:pPr>
        <w:widowControl/>
        <w:adjustRightInd w:val="0"/>
        <w:snapToGrid w:val="0"/>
        <w:spacing w:line="360" w:lineRule="auto"/>
        <w:ind w:firstLine="562"/>
        <w:jc w:val="left"/>
        <w:rPr>
          <w:rFonts w:ascii="仿宋" w:hAnsi="仿宋" w:eastAsia="仿宋" w:cs="仿宋"/>
          <w:b/>
          <w:bCs/>
          <w:color w:val="000000"/>
          <w:kern w:val="0"/>
          <w:szCs w:val="28"/>
          <w:lang w:bidi="ar"/>
        </w:rPr>
      </w:pPr>
      <w:r>
        <w:rPr>
          <w:rFonts w:hint="eastAsia" w:ascii="仿宋" w:hAnsi="仿宋" w:eastAsia="仿宋" w:cs="仿宋"/>
          <w:b/>
          <w:bCs/>
          <w:color w:val="000000"/>
          <w:kern w:val="0"/>
          <w:szCs w:val="28"/>
          <w:lang w:bidi="ar"/>
        </w:rPr>
        <w:t xml:space="preserve">第一阶段 </w:t>
      </w:r>
      <w:r>
        <w:rPr>
          <w:rFonts w:ascii="仿宋" w:hAnsi="仿宋" w:eastAsia="仿宋" w:cs="仿宋"/>
          <w:b/>
          <w:bCs/>
          <w:color w:val="000000"/>
          <w:kern w:val="0"/>
          <w:szCs w:val="28"/>
          <w:lang w:bidi="ar"/>
        </w:rPr>
        <w:t>标准起草组成立</w:t>
      </w:r>
    </w:p>
    <w:p w14:paraId="41A68218">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eastAsia="仿宋"/>
          <w:sz w:val="24"/>
        </w:rPr>
      </w:pPr>
      <w:r>
        <w:rPr>
          <w:rFonts w:eastAsia="仿宋"/>
          <w:sz w:val="24"/>
        </w:rPr>
        <w:t>在接到标准制定任务后，制标单位随即成立了标准</w:t>
      </w:r>
      <w:r>
        <w:rPr>
          <w:rFonts w:hint="eastAsia" w:eastAsia="仿宋"/>
          <w:sz w:val="24"/>
          <w:lang w:val="en-US" w:eastAsia="zh-CN"/>
        </w:rPr>
        <w:t>起草</w:t>
      </w:r>
      <w:r>
        <w:rPr>
          <w:rFonts w:eastAsia="仿宋"/>
          <w:sz w:val="24"/>
        </w:rPr>
        <w:t>组，</w:t>
      </w:r>
      <w:r>
        <w:rPr>
          <w:rFonts w:hint="eastAsia" w:eastAsia="仿宋"/>
          <w:sz w:val="24"/>
        </w:rPr>
        <w:t>乾佰熙（大连）生物科技有限公司</w:t>
      </w:r>
      <w:r>
        <w:rPr>
          <w:rFonts w:hint="eastAsia" w:eastAsia="仿宋"/>
          <w:sz w:val="24"/>
          <w:lang w:val="en-US" w:eastAsia="zh-CN"/>
        </w:rPr>
        <w:t>张德全总经理</w:t>
      </w:r>
      <w:r>
        <w:rPr>
          <w:rFonts w:eastAsia="仿宋"/>
          <w:sz w:val="24"/>
        </w:rPr>
        <w:t>负责整体工作，制定工作方案、工作计划、项目人员分工以及起草标准内容；</w:t>
      </w:r>
      <w:r>
        <w:rPr>
          <w:rFonts w:hint="eastAsia" w:eastAsia="仿宋"/>
          <w:sz w:val="24"/>
          <w:lang w:val="en-US" w:eastAsia="zh-CN"/>
        </w:rPr>
        <w:t>大连标准认证研究院有限公司王细凤部长</w:t>
      </w:r>
      <w:r>
        <w:rPr>
          <w:rFonts w:eastAsia="仿宋"/>
          <w:sz w:val="24"/>
        </w:rPr>
        <w:t>负责</w:t>
      </w:r>
      <w:r>
        <w:rPr>
          <w:rFonts w:hint="eastAsia" w:eastAsia="仿宋"/>
          <w:sz w:val="24"/>
          <w:lang w:val="en-US" w:eastAsia="zh-CN"/>
        </w:rPr>
        <w:t>标准立项申请，</w:t>
      </w:r>
      <w:r>
        <w:rPr>
          <w:rFonts w:eastAsia="仿宋"/>
          <w:sz w:val="24"/>
        </w:rPr>
        <w:t>关键点的验证工作，检索相关标准和文献，验证和修改标准草稿，以及征集专家意见。</w:t>
      </w:r>
    </w:p>
    <w:p w14:paraId="0F1ED9EB">
      <w:pPr>
        <w:adjustRightInd w:val="0"/>
        <w:snapToGrid w:val="0"/>
        <w:spacing w:line="360" w:lineRule="auto"/>
        <w:ind w:firstLine="562"/>
        <w:rPr>
          <w:rFonts w:hint="eastAsia" w:ascii="仿宋" w:hAnsi="仿宋" w:eastAsia="仿宋" w:cs="仿宋"/>
          <w:b/>
          <w:bCs/>
          <w:color w:val="000000"/>
          <w:kern w:val="0"/>
          <w:szCs w:val="28"/>
          <w:lang w:bidi="ar"/>
        </w:rPr>
      </w:pPr>
      <w:r>
        <w:rPr>
          <w:rFonts w:hint="eastAsia" w:ascii="仿宋" w:hAnsi="仿宋" w:eastAsia="仿宋" w:cs="仿宋"/>
          <w:b/>
          <w:szCs w:val="28"/>
        </w:rPr>
        <w:t>第二阶段：</w:t>
      </w:r>
      <w:r>
        <w:rPr>
          <w:rFonts w:hint="eastAsia" w:ascii="仿宋" w:hAnsi="仿宋" w:eastAsia="仿宋" w:cs="仿宋"/>
          <w:b/>
          <w:bCs/>
          <w:color w:val="000000"/>
          <w:kern w:val="0"/>
          <w:szCs w:val="28"/>
          <w:lang w:bidi="ar"/>
        </w:rPr>
        <w:t>前期预研及调研分析</w:t>
      </w:r>
    </w:p>
    <w:p w14:paraId="06009E3E">
      <w:pPr>
        <w:adjustRightInd w:val="0"/>
        <w:snapToGrid w:val="0"/>
        <w:spacing w:before="156" w:beforeLines="50" w:line="360" w:lineRule="auto"/>
        <w:ind w:firstLine="480"/>
        <w:rPr>
          <w:rFonts w:hint="default" w:eastAsia="仿宋"/>
          <w:sz w:val="24"/>
          <w:lang w:val="en-US" w:eastAsia="zh-CN"/>
        </w:rPr>
      </w:pPr>
      <w:r>
        <w:rPr>
          <w:rFonts w:hint="eastAsia" w:eastAsia="仿宋"/>
          <w:sz w:val="24"/>
        </w:rPr>
        <w:t>标准</w:t>
      </w:r>
      <w:r>
        <w:rPr>
          <w:rFonts w:hint="eastAsia" w:eastAsia="仿宋"/>
          <w:sz w:val="24"/>
          <w:lang w:val="en-US" w:eastAsia="zh-CN"/>
        </w:rPr>
        <w:t>起草</w:t>
      </w:r>
      <w:r>
        <w:rPr>
          <w:rFonts w:hint="eastAsia" w:eastAsia="仿宋"/>
          <w:sz w:val="24"/>
        </w:rPr>
        <w:t>组</w:t>
      </w:r>
      <w:r>
        <w:rPr>
          <w:rFonts w:eastAsia="仿宋"/>
          <w:sz w:val="24"/>
        </w:rPr>
        <w:t>对国内秸秆饲料化处理、蒸汽爆破处理生物质等方面文献进行收集整理</w:t>
      </w:r>
      <w:r>
        <w:rPr>
          <w:rFonts w:hint="eastAsia" w:eastAsia="仿宋"/>
          <w:sz w:val="24"/>
          <w:lang w:eastAsia="zh-CN"/>
        </w:rPr>
        <w:t>，</w:t>
      </w:r>
      <w:r>
        <w:rPr>
          <w:rFonts w:hint="eastAsia" w:eastAsia="仿宋"/>
          <w:sz w:val="24"/>
          <w:lang w:val="en-US" w:eastAsia="zh-CN"/>
        </w:rPr>
        <w:t>多次</w:t>
      </w:r>
      <w:r>
        <w:rPr>
          <w:rFonts w:hint="eastAsia" w:eastAsia="仿宋"/>
          <w:color w:val="0000FF"/>
          <w:sz w:val="24"/>
          <w:lang w:val="en-US" w:eastAsia="zh-CN"/>
        </w:rPr>
        <w:t>到黑龙江、吉林、沈阳</w:t>
      </w:r>
      <w:r>
        <w:rPr>
          <w:rFonts w:hint="eastAsia" w:eastAsia="仿宋"/>
          <w:sz w:val="24"/>
          <w:lang w:val="en-US" w:eastAsia="zh-CN"/>
        </w:rPr>
        <w:t>等造纸科研机构及生产企业进行了实地调研。</w:t>
      </w:r>
    </w:p>
    <w:p w14:paraId="0E60C975">
      <w:pPr>
        <w:widowControl/>
        <w:adjustRightInd w:val="0"/>
        <w:snapToGrid w:val="0"/>
        <w:spacing w:line="360" w:lineRule="auto"/>
        <w:ind w:firstLine="562"/>
        <w:rPr>
          <w:rFonts w:hint="eastAsia" w:ascii="仿宋" w:hAnsi="仿宋" w:eastAsia="仿宋" w:cs="仿宋"/>
          <w:b/>
          <w:bCs/>
          <w:color w:val="000000"/>
          <w:szCs w:val="22"/>
        </w:rPr>
      </w:pPr>
      <w:r>
        <w:rPr>
          <w:rFonts w:hint="eastAsia" w:ascii="仿宋" w:hAnsi="仿宋" w:eastAsia="仿宋" w:cs="仿宋"/>
          <w:b/>
          <w:bCs/>
          <w:color w:val="000000"/>
          <w:szCs w:val="22"/>
        </w:rPr>
        <w:t>第三阶段：标准起草</w:t>
      </w:r>
    </w:p>
    <w:p w14:paraId="31023403">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eastAsia="仿宋"/>
          <w:sz w:val="24"/>
        </w:rPr>
        <w:t>标准</w:t>
      </w:r>
      <w:r>
        <w:rPr>
          <w:rFonts w:hint="eastAsia" w:eastAsia="仿宋"/>
          <w:sz w:val="24"/>
          <w:lang w:val="en-US" w:eastAsia="zh-CN"/>
        </w:rPr>
        <w:t>起草</w:t>
      </w:r>
      <w:r>
        <w:rPr>
          <w:rFonts w:eastAsia="仿宋"/>
          <w:sz w:val="24"/>
        </w:rPr>
        <w:t>组对蒸汽爆破中原料加水比例、压力和保压时间三个参数进行优化。</w:t>
      </w:r>
      <w:r>
        <w:rPr>
          <w:rFonts w:hint="eastAsia" w:eastAsia="仿宋"/>
          <w:sz w:val="24"/>
        </w:rPr>
        <w:t>按照GB/T 1.1-2020《标准化工作导则 第1部分：标准化文件的结构和起草规则》的规定起草编写标准文本内容和编制说明内容，并组织开展</w:t>
      </w:r>
      <w:r>
        <w:rPr>
          <w:rFonts w:hint="eastAsia" w:eastAsia="仿宋"/>
          <w:sz w:val="24"/>
          <w:lang w:val="en-US" w:eastAsia="zh-CN"/>
        </w:rPr>
        <w:t>3</w:t>
      </w:r>
      <w:r>
        <w:rPr>
          <w:rFonts w:hint="eastAsia" w:eastAsia="仿宋"/>
          <w:sz w:val="24"/>
        </w:rPr>
        <w:t>次讨论会。</w:t>
      </w:r>
    </w:p>
    <w:p w14:paraId="0277A0BA">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hint="eastAsia" w:eastAsia="仿宋"/>
          <w:sz w:val="24"/>
        </w:rPr>
        <w:t>20</w:t>
      </w:r>
      <w:r>
        <w:rPr>
          <w:rFonts w:hint="eastAsia" w:eastAsia="仿宋"/>
          <w:sz w:val="24"/>
          <w:lang w:val="en-US" w:eastAsia="zh-CN"/>
        </w:rPr>
        <w:t>25</w:t>
      </w:r>
      <w:r>
        <w:rPr>
          <w:rFonts w:hint="eastAsia" w:eastAsia="仿宋"/>
          <w:sz w:val="24"/>
        </w:rPr>
        <w:t>年</w:t>
      </w:r>
      <w:r>
        <w:rPr>
          <w:rFonts w:hint="eastAsia" w:eastAsia="仿宋"/>
          <w:sz w:val="24"/>
          <w:lang w:val="en-US" w:eastAsia="zh-CN"/>
        </w:rPr>
        <w:t>10</w:t>
      </w:r>
      <w:r>
        <w:rPr>
          <w:rFonts w:hint="eastAsia" w:eastAsia="仿宋"/>
          <w:sz w:val="24"/>
        </w:rPr>
        <w:t>月15日，乾佰熙（大连）生物科技有限公司组织召开</w:t>
      </w:r>
      <w:r>
        <w:rPr>
          <w:rFonts w:hint="eastAsia" w:eastAsia="仿宋"/>
          <w:sz w:val="24"/>
          <w:lang w:val="en-US" w:eastAsia="zh-CN"/>
        </w:rPr>
        <w:t>内部</w:t>
      </w:r>
      <w:r>
        <w:rPr>
          <w:rFonts w:hint="eastAsia" w:eastAsia="仿宋"/>
          <w:sz w:val="24"/>
        </w:rPr>
        <w:t>研讨会，讨论了标准的框架、标准各个条款的关键环节和关键点，</w:t>
      </w:r>
      <w:r>
        <w:rPr>
          <w:rFonts w:hint="eastAsia" w:eastAsia="仿宋"/>
          <w:sz w:val="24"/>
          <w:lang w:val="en-US" w:eastAsia="zh-CN"/>
        </w:rPr>
        <w:t>标准起草</w:t>
      </w:r>
      <w:r>
        <w:rPr>
          <w:rFonts w:hint="eastAsia" w:eastAsia="仿宋"/>
          <w:sz w:val="24"/>
        </w:rPr>
        <w:t>组根据反馈意见对标准</w:t>
      </w:r>
      <w:r>
        <w:rPr>
          <w:rFonts w:hint="eastAsia" w:eastAsia="仿宋"/>
          <w:sz w:val="24"/>
          <w:lang w:val="en-US" w:eastAsia="zh-CN"/>
        </w:rPr>
        <w:t>工作组讨论</w:t>
      </w:r>
      <w:r>
        <w:rPr>
          <w:rFonts w:hint="eastAsia" w:eastAsia="仿宋"/>
          <w:sz w:val="24"/>
        </w:rPr>
        <w:t>稿进行了修改。</w:t>
      </w:r>
    </w:p>
    <w:p w14:paraId="265AA551">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hint="eastAsia" w:eastAsia="仿宋"/>
          <w:sz w:val="24"/>
        </w:rPr>
        <w:t>202</w:t>
      </w:r>
      <w:r>
        <w:rPr>
          <w:rFonts w:hint="eastAsia" w:eastAsia="仿宋"/>
          <w:sz w:val="24"/>
          <w:lang w:val="en-US" w:eastAsia="zh-CN"/>
        </w:rPr>
        <w:t>5</w:t>
      </w:r>
      <w:r>
        <w:rPr>
          <w:rFonts w:hint="eastAsia" w:eastAsia="仿宋"/>
          <w:sz w:val="24"/>
        </w:rPr>
        <w:t>年</w:t>
      </w:r>
      <w:r>
        <w:rPr>
          <w:rFonts w:hint="eastAsia" w:eastAsia="仿宋"/>
          <w:sz w:val="24"/>
          <w:lang w:val="en-US" w:eastAsia="zh-CN"/>
        </w:rPr>
        <w:t>12</w:t>
      </w:r>
      <w:r>
        <w:rPr>
          <w:rFonts w:hint="eastAsia" w:eastAsia="仿宋"/>
          <w:sz w:val="24"/>
        </w:rPr>
        <w:t>月</w:t>
      </w:r>
      <w:r>
        <w:rPr>
          <w:rFonts w:hint="eastAsia" w:eastAsia="仿宋"/>
          <w:sz w:val="24"/>
          <w:lang w:val="en-US" w:eastAsia="zh-CN"/>
        </w:rPr>
        <w:t>4</w:t>
      </w:r>
      <w:r>
        <w:rPr>
          <w:rFonts w:hint="eastAsia" w:eastAsia="仿宋"/>
          <w:sz w:val="24"/>
        </w:rPr>
        <w:t>日，乾佰熙（大连）生物科技有限公司召开线上讨论会，会议邀请了哈尔滨工业大学、大连大学、北京优解未来科技有限公司、中国一重设计院等单位相关专家对标准的文本框架、编制说明、征求意见及修改情况进行了讨论。</w:t>
      </w:r>
    </w:p>
    <w:p w14:paraId="33E333F6">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hint="eastAsia" w:eastAsia="仿宋"/>
          <w:sz w:val="24"/>
        </w:rPr>
        <w:t>202</w:t>
      </w:r>
      <w:r>
        <w:rPr>
          <w:rFonts w:hint="eastAsia" w:eastAsia="仿宋"/>
          <w:sz w:val="24"/>
          <w:lang w:val="en-US" w:eastAsia="zh-CN"/>
        </w:rPr>
        <w:t>6</w:t>
      </w:r>
      <w:r>
        <w:rPr>
          <w:rFonts w:hint="eastAsia" w:eastAsia="仿宋"/>
          <w:sz w:val="24"/>
        </w:rPr>
        <w:t>年</w:t>
      </w:r>
      <w:r>
        <w:rPr>
          <w:rFonts w:hint="eastAsia" w:eastAsia="仿宋"/>
          <w:sz w:val="24"/>
          <w:lang w:val="en-US" w:eastAsia="zh-CN"/>
        </w:rPr>
        <w:t>2</w:t>
      </w:r>
      <w:r>
        <w:rPr>
          <w:rFonts w:hint="eastAsia" w:eastAsia="仿宋"/>
          <w:sz w:val="24"/>
        </w:rPr>
        <w:t>月10日，乾佰熙（大连）生物科技有限公司组织召开内部研讨会，</w:t>
      </w:r>
      <w:r>
        <w:rPr>
          <w:rFonts w:hint="eastAsia" w:eastAsia="仿宋"/>
          <w:sz w:val="24"/>
          <w:lang w:val="en-US" w:eastAsia="zh-CN"/>
        </w:rPr>
        <w:t>标准起草组</w:t>
      </w:r>
      <w:r>
        <w:rPr>
          <w:rFonts w:hint="eastAsia" w:eastAsia="仿宋"/>
          <w:sz w:val="24"/>
        </w:rPr>
        <w:t>对标准文本进行了全面、细致的修改和完善，讨论确定了标准文本中关键环节和关键点的可靠性、可操作性及依据，补充完善编制说明</w:t>
      </w:r>
      <w:r>
        <w:rPr>
          <w:rFonts w:hint="eastAsia" w:eastAsia="仿宋"/>
          <w:sz w:val="24"/>
          <w:lang w:eastAsia="zh-CN"/>
        </w:rPr>
        <w:t>，</w:t>
      </w:r>
      <w:r>
        <w:rPr>
          <w:rFonts w:hint="eastAsia" w:eastAsia="仿宋"/>
          <w:sz w:val="24"/>
        </w:rPr>
        <w:t xml:space="preserve">形成《秸秆蒸汽爆破饲料生产工艺技术规范》团体标准征求意见稿。 </w:t>
      </w:r>
    </w:p>
    <w:p w14:paraId="0B9B2C9F">
      <w:pPr>
        <w:adjustRightInd w:val="0"/>
        <w:snapToGrid w:val="0"/>
        <w:spacing w:before="156" w:beforeLines="50" w:line="360" w:lineRule="auto"/>
        <w:ind w:firstLine="0" w:firstLineChars="0"/>
        <w:rPr>
          <w:rFonts w:eastAsia="黑体"/>
          <w:b/>
          <w:sz w:val="32"/>
          <w:szCs w:val="32"/>
        </w:rPr>
      </w:pPr>
      <w:r>
        <w:rPr>
          <w:rFonts w:eastAsia="黑体"/>
          <w:b/>
          <w:sz w:val="32"/>
          <w:szCs w:val="32"/>
        </w:rPr>
        <w:t>三、 标准编制原则和主要技术内容确定的依据</w:t>
      </w:r>
    </w:p>
    <w:p w14:paraId="6B9FA948">
      <w:pPr>
        <w:adjustRightInd w:val="0"/>
        <w:snapToGrid w:val="0"/>
        <w:spacing w:before="156" w:beforeLines="50" w:line="360" w:lineRule="auto"/>
        <w:ind w:firstLine="0" w:firstLineChars="0"/>
        <w:rPr>
          <w:rFonts w:eastAsia="黑体"/>
          <w:b/>
          <w:szCs w:val="28"/>
        </w:rPr>
      </w:pPr>
      <w:r>
        <w:rPr>
          <w:rFonts w:eastAsia="黑体"/>
          <w:b/>
          <w:szCs w:val="28"/>
        </w:rPr>
        <w:t>（一）标准制定过程遵循的基本原则</w:t>
      </w:r>
    </w:p>
    <w:p w14:paraId="50B1D0F9">
      <w:pPr>
        <w:adjustRightInd w:val="0"/>
        <w:snapToGrid w:val="0"/>
        <w:spacing w:before="156" w:beforeLines="50" w:line="360" w:lineRule="auto"/>
        <w:ind w:firstLine="480"/>
        <w:rPr>
          <w:rFonts w:eastAsia="仿宋"/>
          <w:sz w:val="24"/>
        </w:rPr>
      </w:pPr>
      <w:r>
        <w:rPr>
          <w:rFonts w:eastAsia="仿宋"/>
          <w:sz w:val="24"/>
        </w:rPr>
        <w:t>本文件按照GB/T 1.1—2020《标准化工作导则 第1部分：标准化文件的结构和起草规则》的规定起草，同时遵循以下原则：</w:t>
      </w:r>
    </w:p>
    <w:p w14:paraId="4ECD3CE9">
      <w:pPr>
        <w:adjustRightInd w:val="0"/>
        <w:snapToGrid w:val="0"/>
        <w:spacing w:before="156" w:beforeLines="50" w:line="360" w:lineRule="auto"/>
        <w:ind w:firstLine="480"/>
        <w:rPr>
          <w:rFonts w:hint="eastAsia" w:eastAsia="仿宋"/>
          <w:sz w:val="24"/>
          <w:lang w:val="en-US" w:eastAsia="zh-CN"/>
        </w:rPr>
      </w:pPr>
      <w:r>
        <w:rPr>
          <w:rFonts w:eastAsia="仿宋"/>
          <w:sz w:val="24"/>
        </w:rPr>
        <w:t>（1）</w:t>
      </w:r>
      <w:r>
        <w:rPr>
          <w:rFonts w:hint="eastAsia" w:eastAsia="仿宋"/>
          <w:sz w:val="24"/>
          <w:lang w:val="en-US" w:eastAsia="zh-CN"/>
        </w:rPr>
        <w:t xml:space="preserve">科学性：通过深入研究秸秆饲料加工企业的现状及发展需求，遵循科学性的标准编制要求，运用科学严谨的方法建立了本标准。从科学客观的角度出发，充分考虑企业、消费者、监管者的各方需求，确保标准的合理性和适用性。 </w:t>
      </w:r>
    </w:p>
    <w:p w14:paraId="0068C474">
      <w:pPr>
        <w:adjustRightInd w:val="0"/>
        <w:snapToGrid w:val="0"/>
        <w:spacing w:before="156" w:beforeLines="50" w:line="360" w:lineRule="auto"/>
        <w:ind w:firstLine="480"/>
        <w:rPr>
          <w:rFonts w:eastAsia="仿宋"/>
          <w:sz w:val="24"/>
        </w:rPr>
      </w:pPr>
      <w:r>
        <w:rPr>
          <w:rFonts w:eastAsia="仿宋"/>
          <w:sz w:val="24"/>
        </w:rPr>
        <w:t>（2）先进性：对本标准中有关内容的确定，力求反映本研究领域的国内外先进技术和经验，使标准中所规定的技术内容有利于秸秆蒸汽爆破</w:t>
      </w:r>
      <w:r>
        <w:rPr>
          <w:rFonts w:hint="eastAsia" w:eastAsia="仿宋"/>
          <w:sz w:val="24"/>
          <w:lang w:val="en-US" w:eastAsia="zh-CN"/>
        </w:rPr>
        <w:t>制板生产工艺</w:t>
      </w:r>
      <w:r>
        <w:rPr>
          <w:rFonts w:eastAsia="仿宋"/>
          <w:sz w:val="24"/>
        </w:rPr>
        <w:t>技术规范。</w:t>
      </w:r>
    </w:p>
    <w:p w14:paraId="211B62E4">
      <w:pPr>
        <w:adjustRightInd w:val="0"/>
        <w:snapToGrid w:val="0"/>
        <w:spacing w:before="156" w:beforeLines="50" w:line="360" w:lineRule="auto"/>
        <w:ind w:firstLine="480"/>
        <w:rPr>
          <w:rFonts w:eastAsia="仿宋"/>
          <w:sz w:val="24"/>
        </w:rPr>
      </w:pPr>
      <w:r>
        <w:rPr>
          <w:rFonts w:eastAsia="仿宋"/>
          <w:sz w:val="24"/>
        </w:rPr>
        <w:t>（3）规范性：在本标准征求意见稿的编制过程中力求做到技术内容的叙述正确无误，文字表达准确和简明易懂，标准的构成严谨合理，符合科学性；内容编排、层次划分等符合逻辑。</w:t>
      </w:r>
    </w:p>
    <w:p w14:paraId="6A1A7746">
      <w:pPr>
        <w:adjustRightInd w:val="0"/>
        <w:snapToGrid w:val="0"/>
        <w:spacing w:before="156" w:beforeLines="50" w:line="360" w:lineRule="auto"/>
        <w:ind w:firstLine="480"/>
        <w:rPr>
          <w:rFonts w:eastAsia="仿宋"/>
          <w:sz w:val="24"/>
        </w:rPr>
      </w:pPr>
      <w:r>
        <w:rPr>
          <w:rFonts w:eastAsia="仿宋"/>
          <w:sz w:val="24"/>
        </w:rPr>
        <w:t>（4）可操作性：可操作性是制定标准的必备因素，因此，在制定标准的过程中，始终把经济实用和可操作性作为重要的依据，以便在执行中容易操作。</w:t>
      </w:r>
    </w:p>
    <w:p w14:paraId="77878C98">
      <w:pPr>
        <w:adjustRightInd w:val="0"/>
        <w:snapToGrid w:val="0"/>
        <w:spacing w:before="156" w:beforeLines="50" w:line="360" w:lineRule="auto"/>
        <w:ind w:firstLine="480"/>
        <w:rPr>
          <w:rFonts w:eastAsia="仿宋"/>
          <w:sz w:val="24"/>
        </w:rPr>
      </w:pPr>
      <w:r>
        <w:rPr>
          <w:rFonts w:eastAsia="仿宋"/>
          <w:sz w:val="24"/>
        </w:rPr>
        <w:t>以科学技术和实验数据为依据，参考国内外标准，结合我国相关饲料产品生产的实际情况，以科学为基本原则，制定本标准。以“提高秸秆利用率”为出发点，重点从蒸汽爆破处理技术参数要求等方面，规范秸秆蒸汽爆破</w:t>
      </w:r>
      <w:r>
        <w:rPr>
          <w:rFonts w:hint="eastAsia" w:eastAsia="仿宋"/>
          <w:sz w:val="24"/>
          <w:lang w:val="en-US" w:eastAsia="zh-CN"/>
        </w:rPr>
        <w:t>制板</w:t>
      </w:r>
      <w:r>
        <w:rPr>
          <w:rFonts w:eastAsia="仿宋"/>
          <w:sz w:val="24"/>
        </w:rPr>
        <w:t>生产，不仅要满足生产经营的需求，还应确保该标准规范的各项指标都能最大程度地满足行业需求。</w:t>
      </w:r>
    </w:p>
    <w:p w14:paraId="1CA0A7C2">
      <w:pPr>
        <w:adjustRightInd w:val="0"/>
        <w:snapToGrid w:val="0"/>
        <w:spacing w:before="156" w:beforeLines="50" w:line="360" w:lineRule="auto"/>
        <w:ind w:firstLine="0" w:firstLineChars="0"/>
        <w:rPr>
          <w:rFonts w:eastAsia="黑体"/>
          <w:b/>
          <w:szCs w:val="28"/>
        </w:rPr>
      </w:pPr>
      <w:r>
        <w:rPr>
          <w:rFonts w:eastAsia="黑体"/>
          <w:b/>
          <w:szCs w:val="28"/>
        </w:rPr>
        <w:t>（二）主要内容确定的依据</w:t>
      </w:r>
    </w:p>
    <w:p w14:paraId="3B351FDE">
      <w:pPr>
        <w:adjustRightInd w:val="0"/>
        <w:snapToGrid w:val="0"/>
        <w:spacing w:before="156" w:beforeLines="50" w:line="360" w:lineRule="auto"/>
        <w:ind w:firstLine="480"/>
        <w:rPr>
          <w:rFonts w:eastAsia="仿宋"/>
          <w:color w:val="auto"/>
          <w:sz w:val="24"/>
        </w:rPr>
      </w:pPr>
      <w:r>
        <w:rPr>
          <w:rFonts w:eastAsia="仿宋"/>
          <w:color w:val="auto"/>
          <w:sz w:val="24"/>
        </w:rPr>
        <w:t>本标准文本共分为</w:t>
      </w:r>
      <w:r>
        <w:rPr>
          <w:rFonts w:hint="eastAsia" w:eastAsia="仿宋"/>
          <w:color w:val="auto"/>
          <w:sz w:val="24"/>
          <w:lang w:val="en-US" w:eastAsia="zh-CN"/>
        </w:rPr>
        <w:t>十章</w:t>
      </w:r>
      <w:r>
        <w:rPr>
          <w:rFonts w:eastAsia="仿宋"/>
          <w:color w:val="auto"/>
          <w:sz w:val="24"/>
        </w:rPr>
        <w:t>，分别为第一章范围、第二章规范性引用文件、第三章术语和定义、第四章</w:t>
      </w:r>
      <w:r>
        <w:rPr>
          <w:rFonts w:hint="eastAsia" w:eastAsia="仿宋"/>
          <w:color w:val="auto"/>
          <w:sz w:val="24"/>
          <w:lang w:val="en-US" w:eastAsia="zh-CN"/>
        </w:rPr>
        <w:t>设备设施要求</w:t>
      </w:r>
      <w:r>
        <w:rPr>
          <w:rFonts w:eastAsia="仿宋"/>
          <w:color w:val="auto"/>
          <w:sz w:val="24"/>
        </w:rPr>
        <w:t>、第五章</w:t>
      </w:r>
      <w:r>
        <w:rPr>
          <w:rFonts w:hint="eastAsia" w:eastAsia="仿宋"/>
          <w:color w:val="auto"/>
          <w:sz w:val="24"/>
          <w:lang w:val="en-US" w:eastAsia="zh-CN"/>
        </w:rPr>
        <w:t>环境卫生要求、第六章生产工艺流程、第七章生产工艺要求、第八章证实方法</w:t>
      </w:r>
      <w:r>
        <w:rPr>
          <w:rFonts w:eastAsia="仿宋"/>
          <w:color w:val="auto"/>
          <w:sz w:val="24"/>
        </w:rPr>
        <w:t>。</w:t>
      </w:r>
    </w:p>
    <w:p w14:paraId="37E53073">
      <w:pPr>
        <w:adjustRightInd w:val="0"/>
        <w:snapToGrid w:val="0"/>
        <w:spacing w:before="156" w:beforeLines="50" w:line="360" w:lineRule="auto"/>
        <w:ind w:firstLine="480"/>
        <w:rPr>
          <w:rFonts w:hint="eastAsia" w:eastAsia="仿宋"/>
          <w:color w:val="auto"/>
          <w:sz w:val="24"/>
          <w:lang w:val="en-US" w:eastAsia="zh-CN"/>
        </w:rPr>
      </w:pPr>
      <w:r>
        <w:rPr>
          <w:rFonts w:hint="eastAsia" w:eastAsia="仿宋"/>
          <w:color w:val="auto"/>
          <w:sz w:val="24"/>
          <w:lang w:val="en-US" w:eastAsia="zh-CN"/>
        </w:rPr>
        <w:t>预处理：原料磨粉至80目；树脂原料去除金属杂质。</w:t>
      </w:r>
    </w:p>
    <w:p w14:paraId="0BB40B06">
      <w:pPr>
        <w:adjustRightInd w:val="0"/>
        <w:snapToGrid w:val="0"/>
        <w:spacing w:before="156" w:beforeLines="50" w:line="360" w:lineRule="auto"/>
        <w:ind w:firstLine="480"/>
        <w:rPr>
          <w:rFonts w:hint="default" w:eastAsia="仿宋"/>
          <w:color w:val="auto"/>
          <w:sz w:val="24"/>
          <w:lang w:val="en-US" w:eastAsia="zh-CN"/>
        </w:rPr>
      </w:pPr>
      <w:r>
        <w:rPr>
          <w:rFonts w:hint="eastAsia" w:eastAsia="仿宋"/>
          <w:color w:val="auto"/>
          <w:sz w:val="24"/>
          <w:lang w:val="en-US" w:eastAsia="zh-CN"/>
        </w:rPr>
        <w:t>高速混合机（转速800-1200r/min)混合，混合时间10-15min，至物料成松散状无结团，冷却至40℃以下出料。</w:t>
      </w:r>
    </w:p>
    <w:p w14:paraId="186C21E1">
      <w:pPr>
        <w:adjustRightInd w:val="0"/>
        <w:snapToGrid w:val="0"/>
        <w:spacing w:before="156" w:beforeLines="50" w:line="360" w:lineRule="auto"/>
        <w:ind w:firstLine="480"/>
        <w:rPr>
          <w:rFonts w:hint="default" w:eastAsia="仿宋"/>
          <w:color w:val="auto"/>
          <w:sz w:val="24"/>
          <w:lang w:val="en-US" w:eastAsia="zh-CN"/>
        </w:rPr>
      </w:pPr>
      <w:r>
        <w:rPr>
          <w:rFonts w:hint="eastAsia" w:eastAsia="仿宋"/>
          <w:color w:val="auto"/>
          <w:sz w:val="24"/>
          <w:lang w:val="en-US" w:eastAsia="zh-CN"/>
        </w:rPr>
        <w:t>造粒：将混合好的物料投入双螺杆造粒机，机筒温度160-190℃（PVC树脂）、140-170℃（PE)，挤出后经水冷切粒，制成φ3-5mm颗粒。</w:t>
      </w:r>
    </w:p>
    <w:p w14:paraId="276B349E">
      <w:pPr>
        <w:adjustRightInd w:val="0"/>
        <w:snapToGrid w:val="0"/>
        <w:spacing w:before="156" w:beforeLines="50" w:line="360" w:lineRule="auto"/>
        <w:ind w:firstLine="480"/>
        <w:rPr>
          <w:rFonts w:hint="default" w:eastAsia="仿宋"/>
          <w:color w:val="auto"/>
          <w:sz w:val="24"/>
          <w:lang w:val="en-US" w:eastAsia="zh-CN"/>
        </w:rPr>
      </w:pPr>
      <w:r>
        <w:rPr>
          <w:rFonts w:hint="eastAsia" w:eastAsia="仿宋"/>
          <w:color w:val="auto"/>
          <w:sz w:val="24"/>
          <w:lang w:val="en-US" w:eastAsia="zh-CN"/>
        </w:rPr>
        <w:t>利用挤出机配合模具，挤出成型--将颗粒投入锥形双螺杆挤出机，模头温度要高于机筒末端温度5-10℃，避免物料粘模具。</w:t>
      </w:r>
    </w:p>
    <w:p w14:paraId="659F826A">
      <w:pPr>
        <w:adjustRightInd w:val="0"/>
        <w:snapToGrid w:val="0"/>
        <w:spacing w:before="156" w:beforeLines="50" w:line="360" w:lineRule="auto"/>
        <w:ind w:firstLine="480"/>
        <w:rPr>
          <w:rFonts w:hint="default" w:eastAsia="仿宋"/>
          <w:color w:val="auto"/>
          <w:sz w:val="24"/>
          <w:lang w:val="en-US" w:eastAsia="zh-CN"/>
        </w:rPr>
      </w:pPr>
      <w:r>
        <w:rPr>
          <w:rFonts w:hint="eastAsia" w:eastAsia="仿宋"/>
          <w:color w:val="auto"/>
          <w:sz w:val="24"/>
          <w:lang w:val="en-US" w:eastAsia="zh-CN"/>
        </w:rPr>
        <w:t>胚料进入水槽分段冷却，水温从40-50℃逐步降至25-30℃，冷却时间5-8min，保证板材内外温差≤5℃，避免翘曲。</w:t>
      </w:r>
    </w:p>
    <w:p w14:paraId="07D1763F">
      <w:pPr>
        <w:adjustRightInd w:val="0"/>
        <w:snapToGrid w:val="0"/>
        <w:spacing w:before="156" w:beforeLines="50" w:line="360" w:lineRule="auto"/>
        <w:ind w:firstLine="480"/>
        <w:rPr>
          <w:rFonts w:hint="default" w:eastAsia="仿宋"/>
          <w:color w:val="auto"/>
          <w:sz w:val="24"/>
          <w:lang w:val="en-US" w:eastAsia="zh-CN"/>
        </w:rPr>
      </w:pPr>
      <w:r>
        <w:rPr>
          <w:rFonts w:hint="eastAsia" w:eastAsia="仿宋"/>
          <w:color w:val="auto"/>
          <w:sz w:val="24"/>
          <w:lang w:val="en-US" w:eastAsia="zh-CN"/>
        </w:rPr>
        <w:t>经牵引机匀速牵引（牵引速度与挤出速度同步），通过数控切割机按规格切割，切割刀片转速3000-4000r/min，保证断面平整无崩边、毛刺。</w:t>
      </w:r>
    </w:p>
    <w:p w14:paraId="7918C527">
      <w:pPr>
        <w:adjustRightInd w:val="0"/>
        <w:snapToGrid w:val="0"/>
        <w:spacing w:before="156" w:beforeLines="50" w:line="360" w:lineRule="auto"/>
        <w:ind w:firstLine="480"/>
        <w:rPr>
          <w:rFonts w:hint="default" w:eastAsia="仿宋"/>
          <w:color w:val="auto"/>
          <w:sz w:val="24"/>
          <w:lang w:val="en-US" w:eastAsia="zh-CN"/>
        </w:rPr>
      </w:pPr>
      <w:r>
        <w:rPr>
          <w:rFonts w:hint="eastAsia" w:eastAsia="仿宋"/>
          <w:color w:val="auto"/>
          <w:sz w:val="24"/>
          <w:lang w:val="en-US" w:eastAsia="zh-CN"/>
        </w:rPr>
        <w:t>压纹处理（热压辊压印立体木纹，温度100-120℃，压力2-3MPa。</w:t>
      </w:r>
    </w:p>
    <w:p w14:paraId="6DEFC313">
      <w:pPr>
        <w:adjustRightInd w:val="0"/>
        <w:snapToGrid w:val="0"/>
        <w:spacing w:before="156" w:beforeLines="50" w:line="360" w:lineRule="auto"/>
        <w:ind w:firstLine="480"/>
        <w:rPr>
          <w:rFonts w:hint="default" w:eastAsia="仿宋"/>
          <w:color w:val="auto"/>
          <w:sz w:val="24"/>
          <w:lang w:val="en-US" w:eastAsia="zh-CN"/>
        </w:rPr>
      </w:pPr>
      <w:r>
        <w:rPr>
          <w:rFonts w:hint="eastAsia" w:eastAsia="仿宋"/>
          <w:color w:val="auto"/>
          <w:sz w:val="24"/>
          <w:lang w:val="en-US" w:eastAsia="zh-CN"/>
        </w:rPr>
        <w:t>检验尺寸、表面纹理、外观缺陷等，合格产品贴保护膜，打包。</w:t>
      </w:r>
      <w:bookmarkStart w:id="0" w:name="_GoBack"/>
      <w:bookmarkEnd w:id="0"/>
    </w:p>
    <w:p w14:paraId="7F5CEC8E">
      <w:pPr>
        <w:adjustRightInd w:val="0"/>
        <w:snapToGrid w:val="0"/>
        <w:spacing w:before="156" w:beforeLines="50" w:after="156" w:afterLines="50" w:line="360" w:lineRule="auto"/>
        <w:ind w:firstLine="0" w:firstLineChars="0"/>
        <w:rPr>
          <w:rFonts w:eastAsia="黑体"/>
          <w:b/>
          <w:sz w:val="32"/>
          <w:szCs w:val="32"/>
        </w:rPr>
      </w:pPr>
      <w:r>
        <w:rPr>
          <w:rFonts w:hint="eastAsia" w:eastAsia="黑体"/>
          <w:b/>
          <w:sz w:val="32"/>
          <w:szCs w:val="32"/>
          <w:lang w:val="en-US" w:eastAsia="zh-CN"/>
        </w:rPr>
        <w:t>四</w:t>
      </w:r>
      <w:r>
        <w:rPr>
          <w:rFonts w:eastAsia="黑体"/>
          <w:b/>
          <w:sz w:val="32"/>
          <w:szCs w:val="32"/>
        </w:rPr>
        <w:t>、与现行法律、法规和强制性标准的关系</w:t>
      </w:r>
    </w:p>
    <w:p w14:paraId="2BF96DB6">
      <w:pPr>
        <w:adjustRightInd w:val="0"/>
        <w:snapToGrid w:val="0"/>
        <w:spacing w:before="156" w:beforeLines="50" w:line="360" w:lineRule="auto"/>
        <w:rPr>
          <w:rFonts w:eastAsia="仿宋"/>
          <w:sz w:val="24"/>
        </w:rPr>
      </w:pPr>
      <w:r>
        <w:rPr>
          <w:rFonts w:eastAsia="仿宋"/>
          <w:sz w:val="24"/>
        </w:rPr>
        <w:t>在</w:t>
      </w:r>
      <w:r>
        <w:rPr>
          <w:rFonts w:hint="eastAsia" w:eastAsia="仿宋"/>
          <w:sz w:val="24"/>
          <w:lang w:val="en-US" w:eastAsia="zh-CN"/>
        </w:rPr>
        <w:t>本文件</w:t>
      </w:r>
      <w:r>
        <w:rPr>
          <w:rFonts w:eastAsia="仿宋"/>
          <w:sz w:val="24"/>
        </w:rPr>
        <w:t>的制定过程中严格贯彻国家有关方针、政策、法律和规章，严格执行强制性国家标准和行业标准。与相关的各种基础标准相衔接，遵循政策性和协调同一性的原则。</w:t>
      </w:r>
    </w:p>
    <w:p w14:paraId="0D76B7F6">
      <w:pPr>
        <w:adjustRightInd w:val="0"/>
        <w:snapToGrid w:val="0"/>
        <w:spacing w:before="156" w:beforeLines="50" w:after="156" w:afterLines="50" w:line="360" w:lineRule="auto"/>
        <w:ind w:firstLine="0" w:firstLineChars="0"/>
        <w:rPr>
          <w:rFonts w:eastAsia="黑体"/>
          <w:b/>
          <w:sz w:val="32"/>
          <w:szCs w:val="32"/>
        </w:rPr>
      </w:pPr>
      <w:r>
        <w:rPr>
          <w:rFonts w:hint="eastAsia" w:eastAsia="黑体"/>
          <w:b/>
          <w:sz w:val="32"/>
          <w:szCs w:val="32"/>
          <w:lang w:val="en-US" w:eastAsia="zh-CN"/>
        </w:rPr>
        <w:t>五</w:t>
      </w:r>
      <w:r>
        <w:rPr>
          <w:rFonts w:eastAsia="黑体"/>
          <w:b/>
          <w:sz w:val="32"/>
          <w:szCs w:val="32"/>
        </w:rPr>
        <w:t>、重大分歧意见的处理经过和依据</w:t>
      </w:r>
    </w:p>
    <w:p w14:paraId="79EDCB35">
      <w:pPr>
        <w:adjustRightInd w:val="0"/>
        <w:snapToGrid w:val="0"/>
        <w:spacing w:before="156" w:beforeLines="50" w:after="156" w:afterLines="50" w:line="360" w:lineRule="auto"/>
        <w:ind w:firstLine="480" w:firstLineChars="200"/>
        <w:rPr>
          <w:rFonts w:hint="eastAsia" w:eastAsia="仿宋"/>
          <w:sz w:val="24"/>
        </w:rPr>
      </w:pPr>
      <w:r>
        <w:rPr>
          <w:rFonts w:hint="eastAsia" w:eastAsia="仿宋"/>
          <w:sz w:val="24"/>
        </w:rPr>
        <w:t>在标准制定的过程中没有出现重大意见分歧。</w:t>
      </w:r>
    </w:p>
    <w:p w14:paraId="4803570A">
      <w:pPr>
        <w:adjustRightInd w:val="0"/>
        <w:snapToGrid w:val="0"/>
        <w:spacing w:before="156" w:beforeLines="50" w:after="156" w:afterLines="50" w:line="360" w:lineRule="auto"/>
        <w:ind w:firstLine="0" w:firstLineChars="0"/>
        <w:rPr>
          <w:rFonts w:eastAsia="黑体"/>
          <w:b/>
          <w:sz w:val="32"/>
          <w:szCs w:val="32"/>
        </w:rPr>
      </w:pPr>
      <w:r>
        <w:rPr>
          <w:rFonts w:hint="eastAsia" w:eastAsia="黑体"/>
          <w:b/>
          <w:sz w:val="32"/>
          <w:szCs w:val="32"/>
          <w:lang w:val="en-US" w:eastAsia="zh-CN"/>
        </w:rPr>
        <w:t>六</w:t>
      </w:r>
      <w:r>
        <w:rPr>
          <w:rFonts w:eastAsia="黑体"/>
          <w:b/>
          <w:sz w:val="32"/>
          <w:szCs w:val="32"/>
        </w:rPr>
        <w:t>、贯彻标准的要求和措施建议</w:t>
      </w:r>
    </w:p>
    <w:p w14:paraId="5B804C9E">
      <w:pPr>
        <w:adjustRightInd w:val="0"/>
        <w:snapToGrid w:val="0"/>
        <w:spacing w:before="156" w:beforeLines="50" w:line="360" w:lineRule="auto"/>
        <w:ind w:firstLine="480"/>
        <w:rPr>
          <w:rFonts w:eastAsia="仿宋"/>
          <w:sz w:val="24"/>
        </w:rPr>
      </w:pPr>
      <w:r>
        <w:rPr>
          <w:rFonts w:eastAsia="仿宋"/>
          <w:sz w:val="24"/>
        </w:rPr>
        <w:t>建议</w:t>
      </w:r>
      <w:r>
        <w:rPr>
          <w:rFonts w:hint="eastAsia" w:eastAsia="仿宋"/>
          <w:sz w:val="24"/>
          <w:lang w:val="en-US" w:eastAsia="zh-CN"/>
        </w:rPr>
        <w:t>联合政府相关部门</w:t>
      </w:r>
      <w:r>
        <w:rPr>
          <w:rFonts w:eastAsia="仿宋"/>
          <w:sz w:val="24"/>
        </w:rPr>
        <w:t>，将本</w:t>
      </w:r>
      <w:r>
        <w:rPr>
          <w:rFonts w:hint="eastAsia" w:eastAsia="仿宋"/>
          <w:sz w:val="24"/>
          <w:lang w:val="en-US" w:eastAsia="zh-CN"/>
        </w:rPr>
        <w:t>文件作为</w:t>
      </w:r>
      <w:r>
        <w:rPr>
          <w:rFonts w:eastAsia="仿宋"/>
          <w:sz w:val="24"/>
        </w:rPr>
        <w:t>技术指导文件予以推广应用，以提高秸秆的利用率，推动形成布局合理、多元利用的产业化发展格局，提高秸秆综合利用水平，支撑国家秸秆综合利用政策。</w:t>
      </w:r>
    </w:p>
    <w:p w14:paraId="34E0492B">
      <w:pPr>
        <w:adjustRightInd w:val="0"/>
        <w:snapToGrid w:val="0"/>
        <w:spacing w:before="156" w:beforeLines="50" w:line="360" w:lineRule="auto"/>
        <w:ind w:firstLine="0" w:firstLineChars="0"/>
        <w:rPr>
          <w:rFonts w:eastAsia="黑体"/>
          <w:b/>
          <w:sz w:val="32"/>
          <w:szCs w:val="32"/>
        </w:rPr>
      </w:pPr>
      <w:r>
        <w:rPr>
          <w:rFonts w:hint="eastAsia" w:eastAsia="黑体"/>
          <w:b/>
          <w:sz w:val="32"/>
          <w:szCs w:val="32"/>
          <w:lang w:val="en-US" w:eastAsia="zh-CN"/>
        </w:rPr>
        <w:t>七</w:t>
      </w:r>
      <w:r>
        <w:rPr>
          <w:rFonts w:eastAsia="黑体"/>
          <w:b/>
          <w:sz w:val="32"/>
          <w:szCs w:val="32"/>
        </w:rPr>
        <w:t>、其他应予说明的事项</w:t>
      </w:r>
    </w:p>
    <w:p w14:paraId="38AB9BC9">
      <w:pPr>
        <w:adjustRightInd w:val="0"/>
        <w:snapToGrid w:val="0"/>
        <w:spacing w:before="156" w:beforeLines="50" w:line="360" w:lineRule="auto"/>
        <w:ind w:firstLine="720" w:firstLineChars="300"/>
        <w:rPr>
          <w:rFonts w:hint="eastAsia"/>
        </w:rPr>
      </w:pPr>
      <w:r>
        <w:rPr>
          <w:rFonts w:eastAsia="仿宋"/>
          <w:sz w:val="24"/>
        </w:rPr>
        <w:t>无</w:t>
      </w:r>
      <w:r>
        <w:rPr>
          <w:rFonts w:hint="eastAsia" w:eastAsia="仿宋"/>
          <w:sz w:val="24"/>
        </w:rPr>
        <w:t>其他应予说明的事项</w:t>
      </w:r>
      <w:r>
        <w:rPr>
          <w:rFonts w:eastAsia="仿宋"/>
          <w:sz w:val="24"/>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02E50">
    <w:pPr>
      <w:pStyle w:val="3"/>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4B08">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309C9">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0B88">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CCB0B">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8B0D1">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decimal"/>
      <w:lvlText w:val="%1."/>
      <w:lvlJc w:val="left"/>
      <w:pPr>
        <w:tabs>
          <w:tab w:val="left" w:pos="420"/>
        </w:tabs>
        <w:ind w:left="420" w:hanging="420"/>
      </w:pPr>
      <w:rPr>
        <w:rFonts w:hint="default"/>
        <w:b/>
        <w:i w:val="0"/>
        <w:sz w:val="21"/>
      </w:rPr>
    </w:lvl>
    <w:lvl w:ilvl="1" w:tentative="0">
      <w:start w:val="1"/>
      <w:numFmt w:val="decimal"/>
      <w:suff w:val="nothing"/>
      <w:lvlText w:val="%2　"/>
      <w:lvlJc w:val="left"/>
      <w:pPr>
        <w:ind w:left="315"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4"/>
      <w:suff w:val="nothing"/>
      <w:lvlText w:val="%1%2.%3.%4.%5.%6.%7　"/>
      <w:lvlJc w:val="left"/>
      <w:pPr>
        <w:ind w:left="525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3740B9"/>
    <w:rsid w:val="01E20F3E"/>
    <w:rsid w:val="088C5DE2"/>
    <w:rsid w:val="114B27A9"/>
    <w:rsid w:val="463740B9"/>
    <w:rsid w:val="651F3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_GB2312" w:cs="Times New Roman"/>
      <w:kern w:val="2"/>
      <w:sz w:val="28"/>
      <w:szCs w:val="24"/>
      <w:lang w:val="en-US" w:eastAsia="zh-CN" w:bidi="ar-SA"/>
    </w:rPr>
  </w:style>
  <w:style w:type="paragraph" w:styleId="2">
    <w:name w:val="heading 2"/>
    <w:basedOn w:val="1"/>
    <w:next w:val="1"/>
    <w:qFormat/>
    <w:uiPriority w:val="9"/>
    <w:pPr>
      <w:widowControl w:val="0"/>
      <w:spacing w:line="360" w:lineRule="auto"/>
      <w:jc w:val="both"/>
      <w:outlineLvl w:val="1"/>
    </w:pPr>
    <w:rPr>
      <w:rFonts w:ascii="Cambria" w:hAnsi="Cambria" w:eastAsia="黑体"/>
      <w:bCs/>
      <w:kern w:val="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numPr>
        <w:ilvl w:val="6"/>
        <w:numId w:val="1"/>
      </w:numPr>
      <w:pBdr>
        <w:bottom w:val="single" w:color="auto" w:sz="6" w:space="1"/>
      </w:pBdr>
      <w:tabs>
        <w:tab w:val="center" w:pos="4153"/>
        <w:tab w:val="right" w:pos="8306"/>
      </w:tabs>
      <w:snapToGrid w:val="0"/>
      <w:ind w:firstLineChars="0"/>
      <w:jc w:val="center"/>
    </w:pPr>
    <w:rPr>
      <w:sz w:val="18"/>
      <w:szCs w:val="18"/>
    </w:rPr>
  </w:style>
  <w:style w:type="paragraph" w:customStyle="1" w:styleId="7">
    <w:name w:val="二级标题"/>
    <w:basedOn w:val="2"/>
    <w:next w:val="1"/>
    <w:qFormat/>
    <w:uiPriority w:val="0"/>
    <w:pPr>
      <w:adjustRightInd w:val="0"/>
      <w:snapToGrid w:val="0"/>
      <w:spacing w:before="100" w:beforeLines="100" w:after="100" w:afterLines="100" w:line="240" w:lineRule="auto"/>
    </w:pPr>
    <w:rPr>
      <w:rFonts w:ascii="黑体" w:hAnsi="黑体"/>
      <w:sz w:val="28"/>
      <w:szCs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3592</Words>
  <Characters>3643</Characters>
  <Lines>0</Lines>
  <Paragraphs>0</Paragraphs>
  <TotalTime>1</TotalTime>
  <ScaleCrop>false</ScaleCrop>
  <LinksUpToDate>false</LinksUpToDate>
  <CharactersWithSpaces>3654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2026-02-28T01:01:00Z</dcterms:created>
  <dc:creator>海山</dc:creator>
  <cp:lastModifiedBy>海山</cp:lastModifiedBy>
  <dcterms:modified xsi:type="dcterms:W3CDTF">2026-03-06T06:40:18Z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9F81614C2E88497D8FBDA6748803E6B1_13</vt:lpwstr>
  </property>
  <property fmtid="{D5CDD505-2E9C-101B-9397-08002B2CF9AE}" pid="4" name="KSOTemplateDocerSaveRecord">
    <vt:lpwstr>eyJoZGlkIjoiZTczZTk3YTkxMDI0NTk4OGZjMmNiZTE5ODFhYTFkNjgiLCJ1c2VySWQiOiI0OTEzMTQ5NTMifQ==</vt:lpwstr>
  </property>
</Properties>
</file>